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70B5" w14:textId="77777777" w:rsidR="001D2A63" w:rsidRDefault="00106232">
      <w:pPr>
        <w:rPr>
          <w:b/>
          <w:sz w:val="28"/>
          <w:szCs w:val="28"/>
          <w:u w:val="single"/>
        </w:rPr>
      </w:pPr>
      <w:r>
        <w:rPr>
          <w:b/>
          <w:sz w:val="28"/>
          <w:szCs w:val="28"/>
          <w:u w:val="single"/>
        </w:rPr>
        <w:t>Meldungen der Programmgemeinden Städtebauförderung für die TAM-Website –</w:t>
      </w:r>
    </w:p>
    <w:p w14:paraId="308898A9" w14:textId="41799765" w:rsidR="001D2A63" w:rsidRDefault="00106232">
      <w:pPr>
        <w:rPr>
          <w:b/>
          <w:sz w:val="28"/>
          <w:szCs w:val="28"/>
        </w:rPr>
      </w:pPr>
      <w:r>
        <w:rPr>
          <w:b/>
          <w:sz w:val="28"/>
          <w:szCs w:val="28"/>
        </w:rPr>
        <w:t xml:space="preserve">Beihilferechtlich relevante Weiterleitungsfälle nach der Förderrichtlinie städtebauliche Erneuerung </w:t>
      </w:r>
      <w:r w:rsidR="00E359DB">
        <w:rPr>
          <w:b/>
          <w:sz w:val="28"/>
          <w:szCs w:val="28"/>
        </w:rPr>
        <w:t xml:space="preserve">(FRL StBauE) </w:t>
      </w:r>
      <w:r>
        <w:rPr>
          <w:b/>
          <w:sz w:val="28"/>
          <w:szCs w:val="28"/>
        </w:rPr>
        <w:t>SA.102625/SA.113236“</w:t>
      </w:r>
    </w:p>
    <w:tbl>
      <w:tblPr>
        <w:tblStyle w:val="Tabellenraster"/>
        <w:tblW w:w="15593" w:type="dxa"/>
        <w:tblInd w:w="-572" w:type="dxa"/>
        <w:tblLayout w:type="fixed"/>
        <w:tblLook w:val="04A0" w:firstRow="1" w:lastRow="0" w:firstColumn="1" w:lastColumn="0" w:noHBand="0" w:noVBand="1"/>
      </w:tblPr>
      <w:tblGrid>
        <w:gridCol w:w="1985"/>
        <w:gridCol w:w="850"/>
        <w:gridCol w:w="1985"/>
        <w:gridCol w:w="1583"/>
        <w:gridCol w:w="934"/>
        <w:gridCol w:w="2019"/>
        <w:gridCol w:w="1559"/>
        <w:gridCol w:w="1276"/>
        <w:gridCol w:w="1417"/>
        <w:gridCol w:w="1985"/>
      </w:tblGrid>
      <w:tr w:rsidR="00F52AFD" w14:paraId="4ADD5BB8" w14:textId="77777777" w:rsidTr="006A51AA">
        <w:trPr>
          <w:trHeight w:val="1146"/>
        </w:trPr>
        <w:tc>
          <w:tcPr>
            <w:tcW w:w="1985" w:type="dxa"/>
          </w:tcPr>
          <w:p w14:paraId="03555B1F" w14:textId="77777777" w:rsidR="007E18BD" w:rsidRPr="007E18BD" w:rsidRDefault="007E18BD">
            <w:pPr>
              <w:rPr>
                <w:b/>
                <w:sz w:val="18"/>
                <w:szCs w:val="18"/>
              </w:rPr>
            </w:pPr>
            <w:r w:rsidRPr="007E18BD">
              <w:rPr>
                <w:b/>
                <w:sz w:val="18"/>
                <w:szCs w:val="18"/>
              </w:rPr>
              <w:t>Gemeinde/</w:t>
            </w:r>
          </w:p>
          <w:p w14:paraId="7C9571ED" w14:textId="77777777" w:rsidR="007E18BD" w:rsidRPr="007E18BD" w:rsidRDefault="007E18BD">
            <w:pPr>
              <w:rPr>
                <w:b/>
                <w:sz w:val="18"/>
                <w:szCs w:val="18"/>
              </w:rPr>
            </w:pPr>
            <w:r w:rsidRPr="007E18BD">
              <w:rPr>
                <w:b/>
                <w:sz w:val="18"/>
                <w:szCs w:val="18"/>
              </w:rPr>
              <w:t>Gemeindeschlüssel</w:t>
            </w:r>
          </w:p>
        </w:tc>
        <w:tc>
          <w:tcPr>
            <w:tcW w:w="850" w:type="dxa"/>
          </w:tcPr>
          <w:p w14:paraId="0C407DC0" w14:textId="4F9DCAE2" w:rsidR="007E18BD" w:rsidRPr="007E18BD" w:rsidRDefault="007E18BD" w:rsidP="007B29AA">
            <w:pPr>
              <w:rPr>
                <w:b/>
                <w:sz w:val="18"/>
                <w:szCs w:val="18"/>
              </w:rPr>
            </w:pPr>
            <w:r w:rsidRPr="007E18BD">
              <w:rPr>
                <w:b/>
                <w:sz w:val="18"/>
                <w:szCs w:val="18"/>
              </w:rPr>
              <w:t>Region</w:t>
            </w:r>
          </w:p>
        </w:tc>
        <w:tc>
          <w:tcPr>
            <w:tcW w:w="1985" w:type="dxa"/>
          </w:tcPr>
          <w:p w14:paraId="2124E17B" w14:textId="56EC8D9A" w:rsidR="007E18BD" w:rsidRPr="007E18BD" w:rsidRDefault="007E18BD" w:rsidP="006A51AA">
            <w:pPr>
              <w:rPr>
                <w:b/>
                <w:sz w:val="18"/>
                <w:szCs w:val="18"/>
              </w:rPr>
            </w:pPr>
            <w:r w:rsidRPr="007E18BD">
              <w:rPr>
                <w:b/>
                <w:sz w:val="18"/>
                <w:szCs w:val="18"/>
              </w:rPr>
              <w:t>Gesamtbetrag der  Zuwendung (Bund, Land</w:t>
            </w:r>
            <w:r w:rsidR="0089331D">
              <w:rPr>
                <w:b/>
                <w:sz w:val="18"/>
                <w:szCs w:val="18"/>
              </w:rPr>
              <w:t>,</w:t>
            </w:r>
            <w:r w:rsidRPr="007E18BD">
              <w:rPr>
                <w:b/>
                <w:sz w:val="18"/>
                <w:szCs w:val="18"/>
              </w:rPr>
              <w:t xml:space="preserve"> </w:t>
            </w:r>
            <w:r>
              <w:rPr>
                <w:b/>
                <w:sz w:val="18"/>
                <w:szCs w:val="18"/>
              </w:rPr>
              <w:t xml:space="preserve">Gemeinde) </w:t>
            </w:r>
            <w:r w:rsidRPr="007E18BD">
              <w:rPr>
                <w:b/>
                <w:sz w:val="18"/>
                <w:szCs w:val="18"/>
              </w:rPr>
              <w:t>gemäß Weiterleitungs</w:t>
            </w:r>
            <w:r w:rsidR="006A51AA">
              <w:rPr>
                <w:b/>
                <w:sz w:val="18"/>
                <w:szCs w:val="18"/>
              </w:rPr>
              <w:t>-</w:t>
            </w:r>
            <w:r w:rsidRPr="007E18BD">
              <w:rPr>
                <w:b/>
                <w:sz w:val="18"/>
                <w:szCs w:val="18"/>
              </w:rPr>
              <w:t>vereinbarung</w:t>
            </w:r>
          </w:p>
        </w:tc>
        <w:tc>
          <w:tcPr>
            <w:tcW w:w="1583" w:type="dxa"/>
          </w:tcPr>
          <w:p w14:paraId="37F37F74" w14:textId="283CB0A1" w:rsidR="007E18BD" w:rsidRPr="007E18BD" w:rsidRDefault="00D86537" w:rsidP="00D86537">
            <w:pPr>
              <w:rPr>
                <w:b/>
                <w:sz w:val="18"/>
                <w:szCs w:val="18"/>
              </w:rPr>
            </w:pPr>
            <w:r>
              <w:rPr>
                <w:b/>
                <w:sz w:val="18"/>
                <w:szCs w:val="18"/>
              </w:rPr>
              <w:t>d</w:t>
            </w:r>
            <w:r w:rsidR="007E18BD" w:rsidRPr="007E18BD">
              <w:rPr>
                <w:b/>
                <w:sz w:val="18"/>
                <w:szCs w:val="18"/>
              </w:rPr>
              <w:t xml:space="preserve">arunter </w:t>
            </w:r>
            <w:r w:rsidR="007E18BD">
              <w:rPr>
                <w:b/>
                <w:sz w:val="18"/>
                <w:szCs w:val="18"/>
              </w:rPr>
              <w:t xml:space="preserve">kommunaler </w:t>
            </w:r>
            <w:r w:rsidR="007E18BD" w:rsidRPr="007E18BD">
              <w:rPr>
                <w:b/>
                <w:sz w:val="18"/>
                <w:szCs w:val="18"/>
              </w:rPr>
              <w:t>Eigenanteil gemäß Weiterleitungs</w:t>
            </w:r>
            <w:r w:rsidR="005B7BFF">
              <w:rPr>
                <w:b/>
                <w:sz w:val="18"/>
                <w:szCs w:val="18"/>
              </w:rPr>
              <w:t>-</w:t>
            </w:r>
            <w:r w:rsidR="007E18BD" w:rsidRPr="007E18BD">
              <w:rPr>
                <w:b/>
                <w:sz w:val="18"/>
                <w:szCs w:val="18"/>
              </w:rPr>
              <w:t>vereinbarung</w:t>
            </w:r>
          </w:p>
        </w:tc>
        <w:tc>
          <w:tcPr>
            <w:tcW w:w="934" w:type="dxa"/>
          </w:tcPr>
          <w:p w14:paraId="1EEADE0A" w14:textId="62ECF803" w:rsidR="007E18BD" w:rsidRPr="007E18BD" w:rsidRDefault="007E18BD">
            <w:pPr>
              <w:rPr>
                <w:b/>
                <w:sz w:val="18"/>
                <w:szCs w:val="18"/>
              </w:rPr>
            </w:pPr>
            <w:r w:rsidRPr="007E18BD">
              <w:rPr>
                <w:b/>
                <w:sz w:val="18"/>
                <w:szCs w:val="18"/>
              </w:rPr>
              <w:t>Ziel/</w:t>
            </w:r>
          </w:p>
          <w:p w14:paraId="3354DB82" w14:textId="77777777" w:rsidR="007E18BD" w:rsidRPr="007E18BD" w:rsidRDefault="007E18BD">
            <w:pPr>
              <w:rPr>
                <w:b/>
                <w:sz w:val="18"/>
                <w:szCs w:val="18"/>
              </w:rPr>
            </w:pPr>
            <w:r w:rsidRPr="007E18BD">
              <w:rPr>
                <w:b/>
                <w:sz w:val="18"/>
                <w:szCs w:val="18"/>
              </w:rPr>
              <w:t>Art der Beihilfe</w:t>
            </w:r>
          </w:p>
        </w:tc>
        <w:tc>
          <w:tcPr>
            <w:tcW w:w="2019" w:type="dxa"/>
          </w:tcPr>
          <w:p w14:paraId="24F73B7E" w14:textId="3CB26437" w:rsidR="00F52AFD" w:rsidRDefault="007E18BD">
            <w:pPr>
              <w:rPr>
                <w:b/>
                <w:sz w:val="18"/>
                <w:szCs w:val="18"/>
              </w:rPr>
            </w:pPr>
            <w:r w:rsidRPr="007E18BD">
              <w:rPr>
                <w:b/>
                <w:sz w:val="18"/>
                <w:szCs w:val="18"/>
              </w:rPr>
              <w:t xml:space="preserve">Name </w:t>
            </w:r>
            <w:r w:rsidR="00F52AFD">
              <w:rPr>
                <w:b/>
                <w:sz w:val="18"/>
                <w:szCs w:val="18"/>
              </w:rPr>
              <w:t>des</w:t>
            </w:r>
          </w:p>
          <w:p w14:paraId="186DEC5D" w14:textId="77777777" w:rsidR="007E18BD" w:rsidRPr="007E18BD" w:rsidRDefault="007E18BD">
            <w:pPr>
              <w:rPr>
                <w:b/>
                <w:sz w:val="18"/>
                <w:szCs w:val="18"/>
              </w:rPr>
            </w:pPr>
            <w:r w:rsidRPr="007E18BD">
              <w:rPr>
                <w:b/>
                <w:sz w:val="18"/>
                <w:szCs w:val="18"/>
              </w:rPr>
              <w:t>Beihilfeempfängers</w:t>
            </w:r>
          </w:p>
        </w:tc>
        <w:tc>
          <w:tcPr>
            <w:tcW w:w="1559" w:type="dxa"/>
          </w:tcPr>
          <w:p w14:paraId="4C115FA3" w14:textId="77777777" w:rsidR="007E18BD" w:rsidRPr="007E18BD" w:rsidRDefault="007E18BD">
            <w:pPr>
              <w:rPr>
                <w:b/>
                <w:sz w:val="18"/>
                <w:szCs w:val="18"/>
              </w:rPr>
            </w:pPr>
            <w:r w:rsidRPr="007E18BD">
              <w:rPr>
                <w:b/>
                <w:sz w:val="18"/>
                <w:szCs w:val="18"/>
              </w:rPr>
              <w:t>Art des</w:t>
            </w:r>
          </w:p>
          <w:p w14:paraId="518EBE5D" w14:textId="77777777" w:rsidR="007E18BD" w:rsidRPr="007E18BD" w:rsidRDefault="007E18BD">
            <w:pPr>
              <w:rPr>
                <w:b/>
                <w:sz w:val="18"/>
                <w:szCs w:val="18"/>
              </w:rPr>
            </w:pPr>
            <w:r w:rsidRPr="007E18BD">
              <w:rPr>
                <w:b/>
                <w:sz w:val="18"/>
                <w:szCs w:val="18"/>
              </w:rPr>
              <w:t>Unternehmens</w:t>
            </w:r>
          </w:p>
        </w:tc>
        <w:tc>
          <w:tcPr>
            <w:tcW w:w="1276" w:type="dxa"/>
          </w:tcPr>
          <w:p w14:paraId="6C29E0EE" w14:textId="77777777" w:rsidR="007E18BD" w:rsidRPr="007E18BD" w:rsidRDefault="007E18BD">
            <w:pPr>
              <w:rPr>
                <w:b/>
                <w:sz w:val="18"/>
                <w:szCs w:val="18"/>
              </w:rPr>
            </w:pPr>
            <w:r w:rsidRPr="007E18BD">
              <w:rPr>
                <w:b/>
                <w:sz w:val="18"/>
                <w:szCs w:val="18"/>
              </w:rPr>
              <w:t>Identifikator des</w:t>
            </w:r>
          </w:p>
          <w:p w14:paraId="1DA700ED" w14:textId="77777777" w:rsidR="007E18BD" w:rsidRPr="007E18BD" w:rsidRDefault="007E18BD">
            <w:pPr>
              <w:rPr>
                <w:b/>
                <w:sz w:val="18"/>
                <w:szCs w:val="18"/>
              </w:rPr>
            </w:pPr>
            <w:r w:rsidRPr="007E18BD">
              <w:rPr>
                <w:b/>
                <w:sz w:val="18"/>
                <w:szCs w:val="18"/>
              </w:rPr>
              <w:t>Empfängers</w:t>
            </w:r>
          </w:p>
        </w:tc>
        <w:tc>
          <w:tcPr>
            <w:tcW w:w="1417" w:type="dxa"/>
          </w:tcPr>
          <w:p w14:paraId="3CE0ACD5" w14:textId="77777777" w:rsidR="001B38A2" w:rsidRDefault="007E18BD">
            <w:pPr>
              <w:rPr>
                <w:b/>
                <w:sz w:val="18"/>
                <w:szCs w:val="18"/>
              </w:rPr>
            </w:pPr>
            <w:r w:rsidRPr="007E18BD">
              <w:rPr>
                <w:b/>
                <w:sz w:val="18"/>
                <w:szCs w:val="18"/>
              </w:rPr>
              <w:t>Wirtschafts</w:t>
            </w:r>
            <w:r w:rsidR="001B38A2">
              <w:rPr>
                <w:b/>
                <w:sz w:val="18"/>
                <w:szCs w:val="18"/>
              </w:rPr>
              <w:t>-</w:t>
            </w:r>
          </w:p>
          <w:p w14:paraId="2ADB3E52" w14:textId="7010502C" w:rsidR="007E18BD" w:rsidRPr="007E18BD" w:rsidRDefault="007E18BD">
            <w:pPr>
              <w:rPr>
                <w:b/>
                <w:sz w:val="18"/>
                <w:szCs w:val="18"/>
              </w:rPr>
            </w:pPr>
            <w:r w:rsidRPr="007E18BD">
              <w:rPr>
                <w:b/>
                <w:sz w:val="18"/>
                <w:szCs w:val="18"/>
              </w:rPr>
              <w:t>zweig</w:t>
            </w:r>
          </w:p>
          <w:p w14:paraId="37F28870" w14:textId="77777777" w:rsidR="007E18BD" w:rsidRPr="007E18BD" w:rsidRDefault="007E18BD">
            <w:pPr>
              <w:rPr>
                <w:b/>
                <w:sz w:val="18"/>
                <w:szCs w:val="18"/>
              </w:rPr>
            </w:pPr>
            <w:r w:rsidRPr="007E18BD">
              <w:rPr>
                <w:b/>
                <w:sz w:val="18"/>
                <w:szCs w:val="18"/>
              </w:rPr>
              <w:t>(</w:t>
            </w:r>
            <w:proofErr w:type="spellStart"/>
            <w:r w:rsidRPr="007E18BD">
              <w:rPr>
                <w:b/>
                <w:sz w:val="18"/>
                <w:szCs w:val="18"/>
              </w:rPr>
              <w:t>Nace</w:t>
            </w:r>
            <w:proofErr w:type="spellEnd"/>
            <w:r w:rsidRPr="007E18BD">
              <w:rPr>
                <w:b/>
                <w:sz w:val="18"/>
                <w:szCs w:val="18"/>
              </w:rPr>
              <w:t>-Gruppe)</w:t>
            </w:r>
          </w:p>
        </w:tc>
        <w:tc>
          <w:tcPr>
            <w:tcW w:w="1985" w:type="dxa"/>
          </w:tcPr>
          <w:p w14:paraId="4A8594D9" w14:textId="77777777" w:rsidR="001B38A2" w:rsidRDefault="007E18BD">
            <w:pPr>
              <w:rPr>
                <w:b/>
                <w:sz w:val="18"/>
                <w:szCs w:val="18"/>
              </w:rPr>
            </w:pPr>
            <w:r w:rsidRPr="007E18BD">
              <w:rPr>
                <w:b/>
                <w:sz w:val="18"/>
                <w:szCs w:val="18"/>
              </w:rPr>
              <w:t xml:space="preserve">Tag der Gewährung (Vertragsdatum </w:t>
            </w:r>
          </w:p>
          <w:p w14:paraId="4CE24689" w14:textId="77777777" w:rsidR="001B38A2" w:rsidRDefault="007E18BD">
            <w:pPr>
              <w:rPr>
                <w:b/>
                <w:sz w:val="18"/>
                <w:szCs w:val="18"/>
              </w:rPr>
            </w:pPr>
            <w:r w:rsidRPr="007E18BD">
              <w:rPr>
                <w:b/>
                <w:sz w:val="18"/>
                <w:szCs w:val="18"/>
              </w:rPr>
              <w:t>Weiterleitungs-</w:t>
            </w:r>
          </w:p>
          <w:p w14:paraId="6E68F073" w14:textId="17D7CD0E" w:rsidR="007E18BD" w:rsidRPr="007E18BD" w:rsidRDefault="007E18BD">
            <w:pPr>
              <w:rPr>
                <w:b/>
                <w:sz w:val="18"/>
                <w:szCs w:val="18"/>
              </w:rPr>
            </w:pPr>
            <w:proofErr w:type="spellStart"/>
            <w:r w:rsidRPr="007E18BD">
              <w:rPr>
                <w:b/>
                <w:sz w:val="18"/>
                <w:szCs w:val="18"/>
              </w:rPr>
              <w:t>vereinbarung</w:t>
            </w:r>
            <w:proofErr w:type="spellEnd"/>
            <w:r w:rsidRPr="007E18BD">
              <w:rPr>
                <w:b/>
                <w:sz w:val="18"/>
                <w:szCs w:val="18"/>
              </w:rPr>
              <w:t>)</w:t>
            </w:r>
          </w:p>
        </w:tc>
      </w:tr>
      <w:tr w:rsidR="00F52AFD" w14:paraId="16DBE3CC" w14:textId="77777777" w:rsidTr="006A51AA">
        <w:trPr>
          <w:trHeight w:val="509"/>
        </w:trPr>
        <w:tc>
          <w:tcPr>
            <w:tcW w:w="1985" w:type="dxa"/>
          </w:tcPr>
          <w:p w14:paraId="29148A12" w14:textId="77777777" w:rsidR="007E18BD" w:rsidRDefault="007E18BD">
            <w:pPr>
              <w:rPr>
                <w:sz w:val="24"/>
                <w:szCs w:val="24"/>
              </w:rPr>
            </w:pPr>
          </w:p>
        </w:tc>
        <w:tc>
          <w:tcPr>
            <w:tcW w:w="850" w:type="dxa"/>
          </w:tcPr>
          <w:p w14:paraId="1401A16B" w14:textId="77777777" w:rsidR="007E18BD" w:rsidRDefault="007E18BD">
            <w:pPr>
              <w:rPr>
                <w:sz w:val="24"/>
                <w:szCs w:val="24"/>
              </w:rPr>
            </w:pPr>
          </w:p>
        </w:tc>
        <w:tc>
          <w:tcPr>
            <w:tcW w:w="1985" w:type="dxa"/>
          </w:tcPr>
          <w:p w14:paraId="1D9A4749" w14:textId="77777777" w:rsidR="007E18BD" w:rsidRDefault="007E18BD">
            <w:pPr>
              <w:rPr>
                <w:sz w:val="24"/>
                <w:szCs w:val="24"/>
              </w:rPr>
            </w:pPr>
          </w:p>
        </w:tc>
        <w:tc>
          <w:tcPr>
            <w:tcW w:w="1583" w:type="dxa"/>
          </w:tcPr>
          <w:p w14:paraId="6662EF09" w14:textId="77777777" w:rsidR="007E18BD" w:rsidRDefault="007E18BD">
            <w:pPr>
              <w:rPr>
                <w:sz w:val="24"/>
                <w:szCs w:val="24"/>
              </w:rPr>
            </w:pPr>
          </w:p>
        </w:tc>
        <w:tc>
          <w:tcPr>
            <w:tcW w:w="934" w:type="dxa"/>
          </w:tcPr>
          <w:p w14:paraId="42AD84F3" w14:textId="136D625B" w:rsidR="007E18BD" w:rsidRDefault="007E18BD">
            <w:pPr>
              <w:rPr>
                <w:sz w:val="24"/>
                <w:szCs w:val="24"/>
              </w:rPr>
            </w:pPr>
          </w:p>
        </w:tc>
        <w:tc>
          <w:tcPr>
            <w:tcW w:w="2019" w:type="dxa"/>
          </w:tcPr>
          <w:p w14:paraId="15D2386B" w14:textId="77777777" w:rsidR="007E18BD" w:rsidRDefault="007E18BD">
            <w:pPr>
              <w:rPr>
                <w:sz w:val="24"/>
                <w:szCs w:val="24"/>
              </w:rPr>
            </w:pPr>
          </w:p>
        </w:tc>
        <w:tc>
          <w:tcPr>
            <w:tcW w:w="1559" w:type="dxa"/>
          </w:tcPr>
          <w:p w14:paraId="3CCB280E" w14:textId="77777777" w:rsidR="007E18BD" w:rsidRDefault="007E18BD">
            <w:pPr>
              <w:rPr>
                <w:sz w:val="24"/>
                <w:szCs w:val="24"/>
              </w:rPr>
            </w:pPr>
          </w:p>
        </w:tc>
        <w:tc>
          <w:tcPr>
            <w:tcW w:w="1276" w:type="dxa"/>
          </w:tcPr>
          <w:p w14:paraId="58CC69FD" w14:textId="77777777" w:rsidR="007E18BD" w:rsidRDefault="007E18BD">
            <w:pPr>
              <w:rPr>
                <w:sz w:val="24"/>
                <w:szCs w:val="24"/>
              </w:rPr>
            </w:pPr>
          </w:p>
        </w:tc>
        <w:tc>
          <w:tcPr>
            <w:tcW w:w="1417" w:type="dxa"/>
          </w:tcPr>
          <w:p w14:paraId="350B0500" w14:textId="77777777" w:rsidR="007E18BD" w:rsidRDefault="007E18BD">
            <w:pPr>
              <w:rPr>
                <w:sz w:val="24"/>
                <w:szCs w:val="24"/>
              </w:rPr>
            </w:pPr>
          </w:p>
          <w:p w14:paraId="02CB8EAC" w14:textId="77777777" w:rsidR="007E18BD" w:rsidRDefault="007E18BD">
            <w:pPr>
              <w:rPr>
                <w:sz w:val="24"/>
                <w:szCs w:val="24"/>
              </w:rPr>
            </w:pPr>
          </w:p>
        </w:tc>
        <w:tc>
          <w:tcPr>
            <w:tcW w:w="1985" w:type="dxa"/>
          </w:tcPr>
          <w:p w14:paraId="562CFC67" w14:textId="77777777" w:rsidR="007E18BD" w:rsidRDefault="007E18BD">
            <w:pPr>
              <w:rPr>
                <w:sz w:val="24"/>
                <w:szCs w:val="24"/>
              </w:rPr>
            </w:pPr>
          </w:p>
        </w:tc>
      </w:tr>
      <w:tr w:rsidR="00F52AFD" w14:paraId="73AB999F" w14:textId="77777777" w:rsidTr="006A51AA">
        <w:trPr>
          <w:trHeight w:val="254"/>
        </w:trPr>
        <w:tc>
          <w:tcPr>
            <w:tcW w:w="1985" w:type="dxa"/>
          </w:tcPr>
          <w:p w14:paraId="0CBED491" w14:textId="77777777" w:rsidR="007E18BD" w:rsidRDefault="007E18BD">
            <w:pPr>
              <w:rPr>
                <w:sz w:val="24"/>
                <w:szCs w:val="24"/>
              </w:rPr>
            </w:pPr>
          </w:p>
        </w:tc>
        <w:tc>
          <w:tcPr>
            <w:tcW w:w="850" w:type="dxa"/>
          </w:tcPr>
          <w:p w14:paraId="0FED6EC8" w14:textId="77777777" w:rsidR="007E18BD" w:rsidRDefault="007E18BD">
            <w:pPr>
              <w:rPr>
                <w:sz w:val="24"/>
                <w:szCs w:val="24"/>
              </w:rPr>
            </w:pPr>
          </w:p>
        </w:tc>
        <w:tc>
          <w:tcPr>
            <w:tcW w:w="1985" w:type="dxa"/>
          </w:tcPr>
          <w:p w14:paraId="22BFB9A9" w14:textId="77777777" w:rsidR="007E18BD" w:rsidRDefault="007E18BD">
            <w:pPr>
              <w:rPr>
                <w:sz w:val="24"/>
                <w:szCs w:val="24"/>
              </w:rPr>
            </w:pPr>
          </w:p>
        </w:tc>
        <w:tc>
          <w:tcPr>
            <w:tcW w:w="1583" w:type="dxa"/>
          </w:tcPr>
          <w:p w14:paraId="4ACF47A0" w14:textId="77777777" w:rsidR="007E18BD" w:rsidRDefault="007E18BD">
            <w:pPr>
              <w:rPr>
                <w:sz w:val="24"/>
                <w:szCs w:val="24"/>
              </w:rPr>
            </w:pPr>
          </w:p>
        </w:tc>
        <w:tc>
          <w:tcPr>
            <w:tcW w:w="934" w:type="dxa"/>
          </w:tcPr>
          <w:p w14:paraId="30425B6B" w14:textId="7C790C06" w:rsidR="007E18BD" w:rsidRDefault="007E18BD">
            <w:pPr>
              <w:rPr>
                <w:sz w:val="24"/>
                <w:szCs w:val="24"/>
              </w:rPr>
            </w:pPr>
          </w:p>
        </w:tc>
        <w:tc>
          <w:tcPr>
            <w:tcW w:w="2019" w:type="dxa"/>
          </w:tcPr>
          <w:p w14:paraId="7CB9D53C" w14:textId="77777777" w:rsidR="007E18BD" w:rsidRDefault="007E18BD">
            <w:pPr>
              <w:rPr>
                <w:sz w:val="24"/>
                <w:szCs w:val="24"/>
              </w:rPr>
            </w:pPr>
          </w:p>
        </w:tc>
        <w:tc>
          <w:tcPr>
            <w:tcW w:w="1559" w:type="dxa"/>
          </w:tcPr>
          <w:p w14:paraId="003655F0" w14:textId="77777777" w:rsidR="007E18BD" w:rsidRDefault="007E18BD">
            <w:pPr>
              <w:rPr>
                <w:sz w:val="24"/>
                <w:szCs w:val="24"/>
              </w:rPr>
            </w:pPr>
          </w:p>
        </w:tc>
        <w:tc>
          <w:tcPr>
            <w:tcW w:w="1276" w:type="dxa"/>
          </w:tcPr>
          <w:p w14:paraId="3F8B8478" w14:textId="77777777" w:rsidR="007E18BD" w:rsidRDefault="007E18BD">
            <w:pPr>
              <w:rPr>
                <w:sz w:val="24"/>
                <w:szCs w:val="24"/>
              </w:rPr>
            </w:pPr>
          </w:p>
        </w:tc>
        <w:tc>
          <w:tcPr>
            <w:tcW w:w="1417" w:type="dxa"/>
          </w:tcPr>
          <w:p w14:paraId="6665D6D8" w14:textId="77777777" w:rsidR="007E18BD" w:rsidRDefault="007E18BD">
            <w:pPr>
              <w:rPr>
                <w:sz w:val="24"/>
                <w:szCs w:val="24"/>
              </w:rPr>
            </w:pPr>
          </w:p>
        </w:tc>
        <w:tc>
          <w:tcPr>
            <w:tcW w:w="1985" w:type="dxa"/>
          </w:tcPr>
          <w:p w14:paraId="6BF0103B" w14:textId="77777777" w:rsidR="007E18BD" w:rsidRDefault="007E18BD">
            <w:pPr>
              <w:rPr>
                <w:sz w:val="24"/>
                <w:szCs w:val="24"/>
              </w:rPr>
            </w:pPr>
          </w:p>
        </w:tc>
      </w:tr>
      <w:tr w:rsidR="00F52AFD" w14:paraId="103A746E" w14:textId="77777777" w:rsidTr="006A51AA">
        <w:trPr>
          <w:trHeight w:val="509"/>
        </w:trPr>
        <w:tc>
          <w:tcPr>
            <w:tcW w:w="1985" w:type="dxa"/>
          </w:tcPr>
          <w:p w14:paraId="19316213" w14:textId="77777777" w:rsidR="007E18BD" w:rsidRDefault="007E18BD">
            <w:pPr>
              <w:rPr>
                <w:sz w:val="24"/>
                <w:szCs w:val="24"/>
              </w:rPr>
            </w:pPr>
          </w:p>
        </w:tc>
        <w:tc>
          <w:tcPr>
            <w:tcW w:w="850" w:type="dxa"/>
          </w:tcPr>
          <w:p w14:paraId="168C2961" w14:textId="77777777" w:rsidR="007E18BD" w:rsidRDefault="007E18BD">
            <w:pPr>
              <w:rPr>
                <w:sz w:val="24"/>
                <w:szCs w:val="24"/>
              </w:rPr>
            </w:pPr>
          </w:p>
        </w:tc>
        <w:tc>
          <w:tcPr>
            <w:tcW w:w="1985" w:type="dxa"/>
          </w:tcPr>
          <w:p w14:paraId="1A1C23BD" w14:textId="77777777" w:rsidR="007E18BD" w:rsidRDefault="007E18BD">
            <w:pPr>
              <w:rPr>
                <w:sz w:val="24"/>
                <w:szCs w:val="24"/>
              </w:rPr>
            </w:pPr>
          </w:p>
        </w:tc>
        <w:tc>
          <w:tcPr>
            <w:tcW w:w="1583" w:type="dxa"/>
          </w:tcPr>
          <w:p w14:paraId="2EF3DA0A" w14:textId="77777777" w:rsidR="007E18BD" w:rsidRDefault="007E18BD">
            <w:pPr>
              <w:rPr>
                <w:sz w:val="24"/>
                <w:szCs w:val="24"/>
              </w:rPr>
            </w:pPr>
          </w:p>
        </w:tc>
        <w:tc>
          <w:tcPr>
            <w:tcW w:w="934" w:type="dxa"/>
          </w:tcPr>
          <w:p w14:paraId="4493D7A9" w14:textId="0CFBB24D" w:rsidR="007E18BD" w:rsidRDefault="007E18BD">
            <w:pPr>
              <w:rPr>
                <w:sz w:val="24"/>
                <w:szCs w:val="24"/>
              </w:rPr>
            </w:pPr>
          </w:p>
        </w:tc>
        <w:tc>
          <w:tcPr>
            <w:tcW w:w="2019" w:type="dxa"/>
          </w:tcPr>
          <w:p w14:paraId="76C54B9A" w14:textId="77777777" w:rsidR="007E18BD" w:rsidRDefault="007E18BD">
            <w:pPr>
              <w:rPr>
                <w:sz w:val="24"/>
                <w:szCs w:val="24"/>
              </w:rPr>
            </w:pPr>
          </w:p>
        </w:tc>
        <w:tc>
          <w:tcPr>
            <w:tcW w:w="1559" w:type="dxa"/>
          </w:tcPr>
          <w:p w14:paraId="09F251A7" w14:textId="77777777" w:rsidR="007E18BD" w:rsidRDefault="007E18BD">
            <w:pPr>
              <w:rPr>
                <w:sz w:val="24"/>
                <w:szCs w:val="24"/>
              </w:rPr>
            </w:pPr>
          </w:p>
        </w:tc>
        <w:tc>
          <w:tcPr>
            <w:tcW w:w="1276" w:type="dxa"/>
          </w:tcPr>
          <w:p w14:paraId="30332D24" w14:textId="77777777" w:rsidR="007E18BD" w:rsidRDefault="007E18BD">
            <w:pPr>
              <w:rPr>
                <w:sz w:val="24"/>
                <w:szCs w:val="24"/>
              </w:rPr>
            </w:pPr>
          </w:p>
        </w:tc>
        <w:tc>
          <w:tcPr>
            <w:tcW w:w="1417" w:type="dxa"/>
          </w:tcPr>
          <w:p w14:paraId="36577DC5" w14:textId="77777777" w:rsidR="007E18BD" w:rsidRDefault="007E18BD">
            <w:pPr>
              <w:rPr>
                <w:sz w:val="24"/>
                <w:szCs w:val="24"/>
              </w:rPr>
            </w:pPr>
          </w:p>
        </w:tc>
        <w:tc>
          <w:tcPr>
            <w:tcW w:w="1985" w:type="dxa"/>
          </w:tcPr>
          <w:p w14:paraId="5580B12D" w14:textId="77777777" w:rsidR="007E18BD" w:rsidRDefault="007E18BD">
            <w:pPr>
              <w:rPr>
                <w:sz w:val="24"/>
                <w:szCs w:val="24"/>
              </w:rPr>
            </w:pPr>
          </w:p>
          <w:p w14:paraId="4519F78B" w14:textId="77777777" w:rsidR="007E18BD" w:rsidRDefault="007E18BD">
            <w:pPr>
              <w:rPr>
                <w:sz w:val="24"/>
                <w:szCs w:val="24"/>
              </w:rPr>
            </w:pPr>
          </w:p>
        </w:tc>
      </w:tr>
    </w:tbl>
    <w:p w14:paraId="2D9146C6" w14:textId="77777777" w:rsidR="001D2A63" w:rsidRDefault="001D2A63">
      <w:pPr>
        <w:rPr>
          <w:sz w:val="24"/>
          <w:szCs w:val="24"/>
        </w:rPr>
      </w:pPr>
    </w:p>
    <w:p w14:paraId="3954F737" w14:textId="77777777" w:rsidR="001D2A63" w:rsidRDefault="00106232">
      <w:pPr>
        <w:rPr>
          <w:b/>
          <w:u w:val="single"/>
        </w:rPr>
      </w:pPr>
      <w:r>
        <w:rPr>
          <w:b/>
          <w:u w:val="single"/>
        </w:rPr>
        <w:t>Erläuterungen:</w:t>
      </w:r>
    </w:p>
    <w:p w14:paraId="24CE5C64" w14:textId="4B91D614" w:rsidR="007B29AA" w:rsidRDefault="007B29AA">
      <w:pPr>
        <w:rPr>
          <w:u w:val="single"/>
        </w:rPr>
      </w:pPr>
      <w:r>
        <w:rPr>
          <w:u w:val="single"/>
        </w:rPr>
        <w:t>Region</w:t>
      </w:r>
    </w:p>
    <w:p w14:paraId="34CE9502" w14:textId="1B900E1F" w:rsidR="007B29AA" w:rsidRPr="00AF219A" w:rsidRDefault="007B29AA">
      <w:r w:rsidRPr="00AF219A">
        <w:t>Die geografische Einteilung der Region für die Statistik (</w:t>
      </w:r>
      <w:proofErr w:type="spellStart"/>
      <w:r w:rsidRPr="00AF219A">
        <w:t>Nomenclature</w:t>
      </w:r>
      <w:proofErr w:type="spellEnd"/>
      <w:r w:rsidRPr="00AF219A">
        <w:t xml:space="preserve"> des </w:t>
      </w:r>
      <w:proofErr w:type="spellStart"/>
      <w:r w:rsidRPr="00AF219A">
        <w:t>Unités</w:t>
      </w:r>
      <w:proofErr w:type="spellEnd"/>
      <w:r w:rsidRPr="00AF219A">
        <w:t xml:space="preserve"> territoriales </w:t>
      </w:r>
      <w:proofErr w:type="spellStart"/>
      <w:r w:rsidRPr="00AF219A">
        <w:t>statistiques</w:t>
      </w:r>
      <w:proofErr w:type="spellEnd"/>
      <w:r w:rsidRPr="00AF219A">
        <w:t xml:space="preserve"> – NUTS) lehnt sich eng an die Verwaltungsgliederung der Länder an. Einzutragen sind die NUTS-2 Regionen. Dies sind die ehemaligen Regierungsbezirke Chemnitz</w:t>
      </w:r>
      <w:r w:rsidR="006D7DE4" w:rsidRPr="00AF219A">
        <w:t xml:space="preserve"> (DE</w:t>
      </w:r>
      <w:r w:rsidR="00185B2D" w:rsidRPr="00AF219A">
        <w:t>D4)</w:t>
      </w:r>
      <w:r w:rsidRPr="00AF219A">
        <w:t>, Dresden</w:t>
      </w:r>
      <w:r w:rsidR="00185B2D" w:rsidRPr="00AF219A">
        <w:t xml:space="preserve"> (DED2)</w:t>
      </w:r>
      <w:r w:rsidRPr="00AF219A">
        <w:t xml:space="preserve"> und Leipzig</w:t>
      </w:r>
      <w:r w:rsidR="00185B2D" w:rsidRPr="00AF219A">
        <w:t xml:space="preserve"> (DED5</w:t>
      </w:r>
    </w:p>
    <w:p w14:paraId="0B9CD84B" w14:textId="1BBB3E93" w:rsidR="001D2A63" w:rsidRDefault="00106232">
      <w:pPr>
        <w:rPr>
          <w:u w:val="single"/>
        </w:rPr>
      </w:pPr>
      <w:r>
        <w:rPr>
          <w:u w:val="single"/>
        </w:rPr>
        <w:t>Mögliche Ziele der Beihilfe (entsprechend AGVO):</w:t>
      </w:r>
    </w:p>
    <w:p w14:paraId="1B226A86" w14:textId="52F00D52" w:rsidR="001D2A63" w:rsidRDefault="00106232">
      <w:pPr>
        <w:spacing w:after="0"/>
        <w:ind w:right="-1022"/>
      </w:pPr>
      <w:r>
        <w:t xml:space="preserve">Investitionshilfen </w:t>
      </w:r>
      <w:r w:rsidR="00F06132">
        <w:t xml:space="preserve">bzw. Beihilfen </w:t>
      </w:r>
      <w:r>
        <w:t>für:</w:t>
      </w:r>
    </w:p>
    <w:p w14:paraId="125D4FC7" w14:textId="5A9D743F" w:rsidR="001D2A63" w:rsidRDefault="00106232">
      <w:pPr>
        <w:spacing w:after="0"/>
        <w:ind w:right="-1022"/>
      </w:pPr>
      <w:r>
        <w:t>Art. 36</w:t>
      </w:r>
      <w:r>
        <w:tab/>
      </w:r>
      <w:r>
        <w:tab/>
      </w:r>
      <w:r>
        <w:tab/>
        <w:t>den Umweltschutz</w:t>
      </w:r>
      <w:r w:rsidR="00F06132">
        <w:t xml:space="preserve"> einschließlich Dekarbonisierung</w:t>
      </w:r>
    </w:p>
    <w:p w14:paraId="20CA4882" w14:textId="0AE89783" w:rsidR="001D2A63" w:rsidRDefault="00106232">
      <w:pPr>
        <w:spacing w:after="0"/>
        <w:ind w:right="-1022"/>
      </w:pPr>
      <w:r>
        <w:t>Art. 36a</w:t>
      </w:r>
      <w:r>
        <w:tab/>
      </w:r>
      <w:r>
        <w:tab/>
        <w:t xml:space="preserve">Lade- oder </w:t>
      </w:r>
      <w:r w:rsidR="00F06132">
        <w:t>Tanki</w:t>
      </w:r>
      <w:r>
        <w:t>nfrastruktur</w:t>
      </w:r>
    </w:p>
    <w:p w14:paraId="0B4C5415" w14:textId="77777777" w:rsidR="001D2A63" w:rsidRDefault="00106232">
      <w:pPr>
        <w:spacing w:after="0"/>
        <w:ind w:right="-1022"/>
      </w:pPr>
      <w:r>
        <w:t>Art. 38</w:t>
      </w:r>
      <w:r>
        <w:tab/>
      </w:r>
      <w:r>
        <w:tab/>
      </w:r>
      <w:r>
        <w:tab/>
        <w:t>nicht gebäudebezogene Energieeffizienzmaßnahmen</w:t>
      </w:r>
    </w:p>
    <w:p w14:paraId="0A426D98" w14:textId="77777777" w:rsidR="001D2A63" w:rsidRDefault="00106232">
      <w:pPr>
        <w:spacing w:after="0"/>
        <w:ind w:right="-1022"/>
      </w:pPr>
      <w:r>
        <w:t>Art. 38 a</w:t>
      </w:r>
      <w:r>
        <w:tab/>
      </w:r>
      <w:r>
        <w:tab/>
        <w:t>gebäudebezogene Energieeffizienzmaßnahmen</w:t>
      </w:r>
    </w:p>
    <w:p w14:paraId="31730A08" w14:textId="18D55B91" w:rsidR="001D2A63" w:rsidRDefault="00106232">
      <w:pPr>
        <w:spacing w:after="0"/>
        <w:ind w:right="-1022"/>
      </w:pPr>
      <w:r>
        <w:t>Art. 41</w:t>
      </w:r>
      <w:r>
        <w:tab/>
      </w:r>
      <w:r>
        <w:tab/>
      </w:r>
      <w:r>
        <w:tab/>
        <w:t xml:space="preserve">die Förderung von erneuerbaren Energien, </w:t>
      </w:r>
      <w:r w:rsidR="00F06132" w:rsidRPr="00F06132">
        <w:t>von erneuerbarem Wasserstoff und von hocheffizienter Kraft-Wärme-Kopplung</w:t>
      </w:r>
      <w:r>
        <w:t xml:space="preserve"> </w:t>
      </w:r>
      <w:r>
        <w:tab/>
      </w:r>
    </w:p>
    <w:p w14:paraId="1EE1B01B" w14:textId="532DB607" w:rsidR="00F06132" w:rsidRPr="00F06132" w:rsidRDefault="00106232" w:rsidP="00F06132">
      <w:pPr>
        <w:spacing w:after="0"/>
        <w:ind w:right="-1022"/>
      </w:pPr>
      <w:r>
        <w:t xml:space="preserve">Art. 46 </w:t>
      </w:r>
      <w:r>
        <w:tab/>
      </w:r>
      <w:r>
        <w:tab/>
        <w:t>energieeffiziente Fernwärme</w:t>
      </w:r>
      <w:r w:rsidR="00F06132" w:rsidRPr="00F06132">
        <w:t xml:space="preserve"> und/oder Fernkälte</w:t>
      </w:r>
    </w:p>
    <w:p w14:paraId="390C11BD" w14:textId="6D43040B" w:rsidR="001D2A63" w:rsidRDefault="00106232">
      <w:pPr>
        <w:spacing w:after="0"/>
        <w:ind w:right="-1022"/>
      </w:pPr>
      <w:r>
        <w:t xml:space="preserve">Art. 47 </w:t>
      </w:r>
      <w:r>
        <w:tab/>
      </w:r>
      <w:r>
        <w:tab/>
        <w:t xml:space="preserve">Ressourceneffizienz und </w:t>
      </w:r>
      <w:r w:rsidR="00AE3EB6">
        <w:t xml:space="preserve">zur </w:t>
      </w:r>
      <w:r>
        <w:t xml:space="preserve">Unterstützung des Übergangs zu </w:t>
      </w:r>
      <w:r w:rsidR="00AE3EB6">
        <w:t xml:space="preserve">einer </w:t>
      </w:r>
      <w:r>
        <w:t>Kreislaufwirtschaft</w:t>
      </w:r>
    </w:p>
    <w:p w14:paraId="1F1143EC" w14:textId="77777777" w:rsidR="001D2A63" w:rsidRDefault="00106232">
      <w:pPr>
        <w:spacing w:after="0"/>
        <w:ind w:right="-1022"/>
      </w:pPr>
      <w:r>
        <w:lastRenderedPageBreak/>
        <w:t xml:space="preserve">Art. 48 </w:t>
      </w:r>
      <w:r>
        <w:tab/>
      </w:r>
      <w:r>
        <w:tab/>
        <w:t>Energieinfrastrukturen</w:t>
      </w:r>
    </w:p>
    <w:p w14:paraId="74677A6A" w14:textId="4D483113" w:rsidR="001D2A63" w:rsidRDefault="00106232">
      <w:pPr>
        <w:spacing w:after="0"/>
        <w:ind w:right="-1022"/>
      </w:pPr>
      <w:r>
        <w:t xml:space="preserve">Art. 49 </w:t>
      </w:r>
      <w:r>
        <w:tab/>
      </w:r>
      <w:r>
        <w:tab/>
        <w:t>Studien und Beratungsleistungen in</w:t>
      </w:r>
      <w:r w:rsidR="00AE3EB6">
        <w:t xml:space="preserve"> den</w:t>
      </w:r>
      <w:r>
        <w:t xml:space="preserve"> Bereichen Umweltschutz und Energie</w:t>
      </w:r>
    </w:p>
    <w:p w14:paraId="40D031DD" w14:textId="721F5EE6" w:rsidR="001D2A63" w:rsidRDefault="00106232">
      <w:pPr>
        <w:spacing w:after="0"/>
        <w:ind w:right="-1022"/>
      </w:pPr>
      <w:r>
        <w:t xml:space="preserve">Art. 53 </w:t>
      </w:r>
      <w:r>
        <w:tab/>
      </w:r>
      <w:r>
        <w:tab/>
      </w:r>
      <w:r w:rsidR="00AE3EB6">
        <w:t xml:space="preserve">Kultur und die </w:t>
      </w:r>
      <w:r>
        <w:t xml:space="preserve">Erhaltung </w:t>
      </w:r>
      <w:r w:rsidR="00AE3EB6">
        <w:t xml:space="preserve">des </w:t>
      </w:r>
      <w:r>
        <w:t>kulturellen Erbes</w:t>
      </w:r>
    </w:p>
    <w:p w14:paraId="0E15C0C8" w14:textId="7A35AD91" w:rsidR="001D2A63" w:rsidRDefault="00106232">
      <w:pPr>
        <w:spacing w:after="0"/>
        <w:ind w:right="-1022"/>
      </w:pPr>
      <w:r>
        <w:t xml:space="preserve">Art. 55 </w:t>
      </w:r>
      <w:r>
        <w:tab/>
      </w:r>
      <w:r>
        <w:tab/>
        <w:t>Sportinfrastrukturen/multifunktionale Freizeitinfrastrukturen</w:t>
      </w:r>
    </w:p>
    <w:p w14:paraId="739175CB" w14:textId="77777777" w:rsidR="001D2A63" w:rsidRDefault="00106232">
      <w:pPr>
        <w:spacing w:after="0"/>
        <w:ind w:right="-1022"/>
      </w:pPr>
      <w:r>
        <w:t>Art. 56</w:t>
      </w:r>
      <w:r>
        <w:tab/>
      </w:r>
      <w:r>
        <w:tab/>
      </w:r>
      <w:r>
        <w:tab/>
        <w:t>lokale Infrastrukturen</w:t>
      </w:r>
    </w:p>
    <w:p w14:paraId="2E60F557" w14:textId="77777777" w:rsidR="001D2A63" w:rsidRDefault="001D2A63">
      <w:pPr>
        <w:spacing w:after="0"/>
        <w:ind w:right="-1022"/>
      </w:pPr>
    </w:p>
    <w:p w14:paraId="58B0E98A" w14:textId="77777777" w:rsidR="001D2A63" w:rsidRDefault="001D2A63">
      <w:pPr>
        <w:spacing w:after="0"/>
        <w:ind w:right="-1022"/>
      </w:pPr>
    </w:p>
    <w:p w14:paraId="15FC324B" w14:textId="77777777" w:rsidR="001D2A63" w:rsidRDefault="00106232">
      <w:pPr>
        <w:rPr>
          <w:u w:val="single"/>
        </w:rPr>
      </w:pPr>
      <w:r>
        <w:rPr>
          <w:u w:val="single"/>
        </w:rPr>
        <w:t>Art des Unternehmens:</w:t>
      </w:r>
    </w:p>
    <w:p w14:paraId="072234F3" w14:textId="77777777" w:rsidR="001D2A63" w:rsidRDefault="00106232">
      <w:r>
        <w:t>KMU (Kleine und mittlere Unternehmen) oder Großunternehmen</w:t>
      </w:r>
    </w:p>
    <w:p w14:paraId="46560F9D" w14:textId="77777777" w:rsidR="001D2A63" w:rsidRDefault="00106232">
      <w:pPr>
        <w:spacing w:after="0" w:line="240" w:lineRule="auto"/>
        <w:rPr>
          <w:rFonts w:cs="Arial"/>
        </w:rPr>
      </w:pPr>
      <w:r>
        <w:rPr>
          <w:rFonts w:cs="Arial"/>
        </w:rPr>
        <w:t xml:space="preserve">Zwei Kriterien ermöglichen die Definition eines KMU nach festen Schwellenwerten: </w:t>
      </w:r>
    </w:p>
    <w:p w14:paraId="6EA1E2DB" w14:textId="77777777" w:rsidR="001D2A63" w:rsidRDefault="00106232">
      <w:pPr>
        <w:spacing w:after="0" w:line="240" w:lineRule="auto"/>
        <w:ind w:firstLine="708"/>
        <w:rPr>
          <w:rFonts w:cs="Arial"/>
        </w:rPr>
      </w:pPr>
      <w:r>
        <w:rPr>
          <w:rFonts w:cs="Arial"/>
        </w:rPr>
        <w:t xml:space="preserve">die Mitarbeiterzahl (weniger als 250) und </w:t>
      </w:r>
    </w:p>
    <w:p w14:paraId="5388F02E" w14:textId="77777777" w:rsidR="001D2A63" w:rsidRDefault="00106232">
      <w:pPr>
        <w:spacing w:after="0" w:line="240" w:lineRule="auto"/>
        <w:ind w:firstLine="708"/>
        <w:rPr>
          <w:rFonts w:cs="Arial"/>
        </w:rPr>
      </w:pPr>
      <w:r>
        <w:rPr>
          <w:rFonts w:cs="Arial"/>
        </w:rPr>
        <w:t xml:space="preserve">entweder die Bilanz (weniger als 43 Mio. EUR) oder </w:t>
      </w:r>
    </w:p>
    <w:p w14:paraId="47730208" w14:textId="77777777" w:rsidR="001D2A63" w:rsidRDefault="00106232">
      <w:pPr>
        <w:spacing w:after="0" w:line="240" w:lineRule="auto"/>
        <w:ind w:firstLine="708"/>
        <w:rPr>
          <w:rFonts w:cs="Arial"/>
        </w:rPr>
      </w:pPr>
      <w:r>
        <w:rPr>
          <w:rFonts w:cs="Arial"/>
        </w:rPr>
        <w:t xml:space="preserve">der Jahresumsatz (weniger als 50 Mio. EUR) (siehe Anhang I AGVO). </w:t>
      </w:r>
    </w:p>
    <w:p w14:paraId="2221C746" w14:textId="77777777" w:rsidR="001D2A63" w:rsidRDefault="001D2A63">
      <w:pPr>
        <w:spacing w:after="0" w:line="240" w:lineRule="auto"/>
        <w:ind w:firstLine="708"/>
        <w:rPr>
          <w:rFonts w:cs="Arial"/>
        </w:rPr>
      </w:pPr>
    </w:p>
    <w:p w14:paraId="04E67E28" w14:textId="77777777" w:rsidR="001D2A63" w:rsidRDefault="00106232">
      <w:pPr>
        <w:spacing w:after="0" w:line="240" w:lineRule="auto"/>
        <w:rPr>
          <w:rFonts w:cs="Arial"/>
          <w:u w:val="single"/>
        </w:rPr>
      </w:pPr>
      <w:r>
        <w:rPr>
          <w:rFonts w:cs="Arial"/>
          <w:u w:val="single"/>
        </w:rPr>
        <w:t xml:space="preserve">Identifikator des Empfängers: </w:t>
      </w:r>
    </w:p>
    <w:p w14:paraId="19828113" w14:textId="23B0DFBC" w:rsidR="001D2A63" w:rsidRDefault="00106232">
      <w:pPr>
        <w:spacing w:after="0" w:line="240" w:lineRule="auto"/>
        <w:rPr>
          <w:rFonts w:cs="Arial"/>
        </w:rPr>
      </w:pPr>
      <w:r>
        <w:rPr>
          <w:rFonts w:cs="Arial"/>
        </w:rPr>
        <w:t xml:space="preserve">Bei Unternehmen ist vorzugsweise die Handelsregister-Nummer oder </w:t>
      </w:r>
      <w:r w:rsidR="000870AE">
        <w:rPr>
          <w:rFonts w:cs="Arial"/>
        </w:rPr>
        <w:t xml:space="preserve">- </w:t>
      </w:r>
      <w:r>
        <w:rPr>
          <w:rFonts w:cs="Arial"/>
        </w:rPr>
        <w:t>wenn diese nicht vorliegt</w:t>
      </w:r>
      <w:r w:rsidR="000870AE">
        <w:rPr>
          <w:rFonts w:cs="Arial"/>
        </w:rPr>
        <w:t xml:space="preserve"> -</w:t>
      </w:r>
      <w:r>
        <w:rPr>
          <w:rFonts w:cs="Arial"/>
        </w:rPr>
        <w:t xml:space="preserve"> die Umsatzsteuer-Identifikationsnummer </w:t>
      </w:r>
    </w:p>
    <w:p w14:paraId="3E9E86C0" w14:textId="35409AAC" w:rsidR="001D2A63" w:rsidRDefault="000870AE">
      <w:pPr>
        <w:spacing w:after="0" w:line="240" w:lineRule="auto"/>
        <w:rPr>
          <w:rFonts w:cs="Arial"/>
        </w:rPr>
      </w:pPr>
      <w:r>
        <w:rPr>
          <w:rFonts w:cs="Arial"/>
        </w:rPr>
        <w:t>e</w:t>
      </w:r>
      <w:r w:rsidR="00106232">
        <w:rPr>
          <w:rFonts w:cs="Arial"/>
        </w:rPr>
        <w:t>inzutragen</w:t>
      </w:r>
    </w:p>
    <w:p w14:paraId="62A44D36" w14:textId="77777777" w:rsidR="001D2A63" w:rsidRDefault="001D2A63">
      <w:pPr>
        <w:spacing w:after="0" w:line="240" w:lineRule="auto"/>
        <w:rPr>
          <w:rFonts w:cs="Arial"/>
        </w:rPr>
      </w:pPr>
    </w:p>
    <w:p w14:paraId="54330C2C" w14:textId="77777777" w:rsidR="001D2A63" w:rsidRDefault="00106232">
      <w:pPr>
        <w:rPr>
          <w:rFonts w:cs="Arial"/>
        </w:rPr>
      </w:pPr>
      <w:r>
        <w:rPr>
          <w:rFonts w:cs="Arial"/>
          <w:u w:val="single"/>
        </w:rPr>
        <w:t>Wirtschaftszweig:</w:t>
      </w:r>
    </w:p>
    <w:p w14:paraId="4566E1FB" w14:textId="77777777" w:rsidR="001D2A63" w:rsidRDefault="00106232">
      <w:pPr>
        <w:spacing w:after="0"/>
        <w:rPr>
          <w:rFonts w:cs="Arial"/>
        </w:rPr>
      </w:pPr>
      <w:r>
        <w:rPr>
          <w:rFonts w:cs="Arial"/>
        </w:rPr>
        <w:t xml:space="preserve">Für die Bestimmung des Wirtschaftszweiges sollte der sog. NACE-Code angegeben werden. Dies ist eine von </w:t>
      </w:r>
      <w:proofErr w:type="spellStart"/>
      <w:r>
        <w:rPr>
          <w:rFonts w:cs="Arial"/>
        </w:rPr>
        <w:t>eurostat</w:t>
      </w:r>
      <w:proofErr w:type="spellEnd"/>
      <w:r>
        <w:rPr>
          <w:rFonts w:cs="Arial"/>
        </w:rPr>
        <w:t xml:space="preserve"> entwickelte Einteilung der Wirtschaftszweige in bestimmte Gruppen.</w:t>
      </w:r>
    </w:p>
    <w:p w14:paraId="16F8268A" w14:textId="77777777" w:rsidR="001D2A63" w:rsidRDefault="00106232">
      <w:pPr>
        <w:spacing w:after="0"/>
        <w:rPr>
          <w:rFonts w:cs="Arial"/>
        </w:rPr>
      </w:pPr>
      <w:r>
        <w:rPr>
          <w:rFonts w:cs="Arial"/>
        </w:rPr>
        <w:t>Im Bereich der Städtebauförderung dürften in erster Linie folgende Gruppen eine Rolle spielen:</w:t>
      </w:r>
    </w:p>
    <w:p w14:paraId="48EB3321" w14:textId="6189E5AE" w:rsidR="001D2A63" w:rsidRDefault="00106232">
      <w:pPr>
        <w:spacing w:after="0"/>
        <w:rPr>
          <w:rFonts w:cs="Arial"/>
        </w:rPr>
      </w:pPr>
      <w:r>
        <w:rPr>
          <w:rFonts w:cs="Arial"/>
        </w:rPr>
        <w:t xml:space="preserve">Gruppe </w:t>
      </w:r>
      <w:r w:rsidR="00054176">
        <w:rPr>
          <w:rFonts w:cs="Arial"/>
        </w:rPr>
        <w:t>D</w:t>
      </w:r>
      <w:r>
        <w:rPr>
          <w:rFonts w:cs="Arial"/>
        </w:rPr>
        <w:t>: Energieversorgung</w:t>
      </w:r>
    </w:p>
    <w:p w14:paraId="02155F45" w14:textId="1C418F72" w:rsidR="001D2A63" w:rsidRDefault="00106232">
      <w:pPr>
        <w:spacing w:after="0"/>
        <w:rPr>
          <w:rFonts w:cs="Arial"/>
        </w:rPr>
      </w:pPr>
      <w:r>
        <w:rPr>
          <w:rFonts w:cs="Arial"/>
        </w:rPr>
        <w:t xml:space="preserve">Gruppe </w:t>
      </w:r>
      <w:r w:rsidR="005360F2">
        <w:rPr>
          <w:rFonts w:cs="Arial"/>
        </w:rPr>
        <w:t>L</w:t>
      </w:r>
      <w:r>
        <w:rPr>
          <w:rFonts w:cs="Arial"/>
        </w:rPr>
        <w:t>: Grundstücks- und Wohnungswesen</w:t>
      </w:r>
      <w:r w:rsidR="005360F2">
        <w:rPr>
          <w:rFonts w:cs="Arial"/>
        </w:rPr>
        <w:t xml:space="preserve"> </w:t>
      </w:r>
    </w:p>
    <w:p w14:paraId="08F48B39" w14:textId="77777777" w:rsidR="001D2A63" w:rsidRDefault="001D2A63">
      <w:pPr>
        <w:spacing w:after="0"/>
        <w:rPr>
          <w:rFonts w:cs="Arial"/>
        </w:rPr>
      </w:pPr>
    </w:p>
    <w:p w14:paraId="288DC32E" w14:textId="77777777" w:rsidR="001D2A63" w:rsidRDefault="00106232">
      <w:pPr>
        <w:rPr>
          <w:rFonts w:ascii="Calibri" w:hAnsi="Calibri"/>
        </w:rPr>
      </w:pPr>
      <w:r>
        <w:rPr>
          <w:rFonts w:cs="Arial"/>
        </w:rPr>
        <w:t>Weitere Hinweise finden sich unter folgendem Link:</w:t>
      </w:r>
      <w:r>
        <w:t xml:space="preserve"> </w:t>
      </w:r>
      <w:hyperlink r:id="rId7" w:history="1">
        <w:r>
          <w:rPr>
            <w:rStyle w:val="Hyperlink"/>
          </w:rPr>
          <w:t>https://ec.europa.eu/eurostat/documents/3859598/5902453/KS-RA-07-015-DE.PDF</w:t>
        </w:r>
      </w:hyperlink>
    </w:p>
    <w:p w14:paraId="61859264" w14:textId="77777777" w:rsidR="001D2A63" w:rsidRDefault="00106232">
      <w:pPr>
        <w:rPr>
          <w:rFonts w:cs="Arial"/>
        </w:rPr>
      </w:pPr>
      <w:r>
        <w:rPr>
          <w:rFonts w:cs="Arial"/>
        </w:rPr>
        <w:t xml:space="preserve">Falls der Beihilfeempfänger in mehreren Sektoren tätig ist, sollte in der Transparenzdatenbank der Sektor angegeben werden, in dem die Beihilfe die größte Wirkung entfaltet. Betrifft die Beihilfe mehrere Sektoren, so sollten die in der Transparenzdatenbank einzugebenden </w:t>
      </w:r>
      <w:proofErr w:type="spellStart"/>
      <w:r>
        <w:rPr>
          <w:rFonts w:cs="Arial"/>
        </w:rPr>
        <w:t>sektorbezogenen</w:t>
      </w:r>
      <w:proofErr w:type="spellEnd"/>
      <w:r>
        <w:rPr>
          <w:rFonts w:cs="Arial"/>
        </w:rPr>
        <w:t xml:space="preserve"> Informationen auf dem Wirtschaftszweig beruhen, der für die betreffende Beihilfe am relevantesten ist. </w:t>
      </w:r>
    </w:p>
    <w:sectPr w:rsidR="001D2A6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5758" w14:textId="77777777" w:rsidR="001D2A63" w:rsidRDefault="00106232">
      <w:pPr>
        <w:spacing w:after="0" w:line="240" w:lineRule="auto"/>
      </w:pPr>
      <w:r>
        <w:separator/>
      </w:r>
    </w:p>
  </w:endnote>
  <w:endnote w:type="continuationSeparator" w:id="0">
    <w:p w14:paraId="11FD7B99" w14:textId="77777777" w:rsidR="001D2A63" w:rsidRDefault="0010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B002" w14:textId="77777777" w:rsidR="00DE001E" w:rsidRDefault="00DE00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653700"/>
      <w:docPartObj>
        <w:docPartGallery w:val="Page Numbers (Bottom of Page)"/>
        <w:docPartUnique/>
      </w:docPartObj>
    </w:sdtPr>
    <w:sdtEndPr/>
    <w:sdtContent>
      <w:sdt>
        <w:sdtPr>
          <w:id w:val="-1705238520"/>
          <w:docPartObj>
            <w:docPartGallery w:val="Page Numbers (Top of Page)"/>
            <w:docPartUnique/>
          </w:docPartObj>
        </w:sdtPr>
        <w:sdtEndPr/>
        <w:sdtContent>
          <w:p w14:paraId="5C343094" w14:textId="641DAFC4" w:rsidR="00912EBB" w:rsidRDefault="00912EBB">
            <w:pPr>
              <w:pStyle w:val="Fuzeile"/>
            </w:pPr>
            <w:r>
              <w:t xml:space="preserve">Seite </w:t>
            </w:r>
            <w:r>
              <w:rPr>
                <w:b/>
                <w:bCs/>
                <w:sz w:val="24"/>
                <w:szCs w:val="24"/>
              </w:rPr>
              <w:fldChar w:fldCharType="begin"/>
            </w:r>
            <w:r>
              <w:rPr>
                <w:b/>
                <w:bCs/>
              </w:rPr>
              <w:instrText>PAGE</w:instrText>
            </w:r>
            <w:r>
              <w:rPr>
                <w:b/>
                <w:bCs/>
                <w:sz w:val="24"/>
                <w:szCs w:val="24"/>
              </w:rPr>
              <w:fldChar w:fldCharType="separate"/>
            </w:r>
            <w:r w:rsidR="006A51AA">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6A51AA">
              <w:rPr>
                <w:b/>
                <w:bCs/>
                <w:noProof/>
              </w:rPr>
              <w:t>2</w:t>
            </w:r>
            <w:r>
              <w:rPr>
                <w:b/>
                <w:bCs/>
                <w:sz w:val="24"/>
                <w:szCs w:val="24"/>
              </w:rPr>
              <w:fldChar w:fldCharType="end"/>
            </w:r>
          </w:p>
        </w:sdtContent>
      </w:sdt>
    </w:sdtContent>
  </w:sdt>
  <w:p w14:paraId="459E350C" w14:textId="77777777" w:rsidR="001D2A63" w:rsidRDefault="001D2A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B8E5" w14:textId="77777777" w:rsidR="00DE001E" w:rsidRDefault="00DE00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1730" w14:textId="77777777" w:rsidR="001D2A63" w:rsidRDefault="00106232">
      <w:pPr>
        <w:spacing w:after="0" w:line="240" w:lineRule="auto"/>
      </w:pPr>
      <w:r>
        <w:separator/>
      </w:r>
    </w:p>
  </w:footnote>
  <w:footnote w:type="continuationSeparator" w:id="0">
    <w:p w14:paraId="34C6B56E" w14:textId="77777777" w:rsidR="001D2A63" w:rsidRDefault="00106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DFFE" w14:textId="77777777" w:rsidR="00DE001E" w:rsidRDefault="00DE00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C24B" w14:textId="1D53E3FF" w:rsidR="001D2A63" w:rsidRDefault="001D2A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813E" w14:textId="77777777" w:rsidR="00DE001E" w:rsidRDefault="00DE00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95A"/>
    <w:multiLevelType w:val="hybridMultilevel"/>
    <w:tmpl w:val="C92ACA20"/>
    <w:lvl w:ilvl="0" w:tplc="D340E3F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140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63"/>
    <w:rsid w:val="0000724B"/>
    <w:rsid w:val="00026D4D"/>
    <w:rsid w:val="00032F44"/>
    <w:rsid w:val="00054176"/>
    <w:rsid w:val="000870AE"/>
    <w:rsid w:val="00106232"/>
    <w:rsid w:val="00185B2D"/>
    <w:rsid w:val="001B38A2"/>
    <w:rsid w:val="001D2A63"/>
    <w:rsid w:val="002A3534"/>
    <w:rsid w:val="00340132"/>
    <w:rsid w:val="00496901"/>
    <w:rsid w:val="005360F2"/>
    <w:rsid w:val="005B3397"/>
    <w:rsid w:val="005B7BFF"/>
    <w:rsid w:val="006A51AA"/>
    <w:rsid w:val="006D7DE4"/>
    <w:rsid w:val="00774876"/>
    <w:rsid w:val="00797FB9"/>
    <w:rsid w:val="007B29AA"/>
    <w:rsid w:val="007C700B"/>
    <w:rsid w:val="007E18BD"/>
    <w:rsid w:val="0080684C"/>
    <w:rsid w:val="00843327"/>
    <w:rsid w:val="0089331D"/>
    <w:rsid w:val="008B5BFA"/>
    <w:rsid w:val="00912EBB"/>
    <w:rsid w:val="00953345"/>
    <w:rsid w:val="00993B62"/>
    <w:rsid w:val="00AE3EB6"/>
    <w:rsid w:val="00AF219A"/>
    <w:rsid w:val="00B3509C"/>
    <w:rsid w:val="00D0202D"/>
    <w:rsid w:val="00D86537"/>
    <w:rsid w:val="00DE001E"/>
    <w:rsid w:val="00E359DB"/>
    <w:rsid w:val="00EF3463"/>
    <w:rsid w:val="00F06132"/>
    <w:rsid w:val="00F1434A"/>
    <w:rsid w:val="00F52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92B548"/>
  <w15:chartTrackingRefBased/>
  <w15:docId w15:val="{BD7DE472-2D0B-4D17-B0B3-8D8A1AA9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semiHidden/>
    <w:unhideWhenUsed/>
    <w:rPr>
      <w:color w:val="0000FF"/>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uiPriority w:val="99"/>
    <w:semiHidden/>
    <w:unhideWhenUsed/>
    <w:rPr>
      <w:color w:val="954F7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rsid w:val="00026D4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4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europa.eu/eurostat/documents/3859598/5902453/KS-RA-07-015-D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2842</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SMWA</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Schrepel, Kerstin (SMWA)</dc:creator>
  <cp:keywords/>
  <dc:description/>
  <cp:lastModifiedBy>Ahnert, Ulrike</cp:lastModifiedBy>
  <cp:revision>2</cp:revision>
  <dcterms:created xsi:type="dcterms:W3CDTF">2024-07-30T14:44:00Z</dcterms:created>
  <dcterms:modified xsi:type="dcterms:W3CDTF">2024-07-30T14:44:00Z</dcterms:modified>
</cp:coreProperties>
</file>